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Style w:val="5"/>
          <w:rFonts w:ascii="宋体" w:hAnsi="宋体" w:eastAsia="宋体" w:cs="宋体"/>
          <w:b/>
          <w:bCs/>
          <w:kern w:val="0"/>
          <w:sz w:val="18"/>
          <w:szCs w:val="18"/>
          <w:bdr w:val="none" w:color="auto" w:sz="0" w:space="0"/>
          <w:lang w:val="en-US" w:eastAsia="zh-CN" w:bidi="ar"/>
        </w:rPr>
        <w:t>TopPette 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轻便且设计符合人机工效学；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数字视窗，令所设定量程一目了然；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量程范围广，0.1μL至10mL；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使用附件工具，能方便快捷地进行校准和维修；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精确的分液，每支移液器都遵照EN/ISO8655标准进行校准；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0" w:right="0"/>
        <w:jc w:val="left"/>
      </w:pPr>
      <w:r>
        <w:rPr>
          <w:rFonts w:ascii="宋体" w:hAnsi="宋体" w:eastAsia="宋体" w:cs="宋体"/>
          <w:kern w:val="0"/>
          <w:sz w:val="16"/>
          <w:szCs w:val="16"/>
          <w:bdr w:val="none" w:color="auto" w:sz="0" w:space="0"/>
          <w:lang w:val="en-US" w:eastAsia="zh-CN" w:bidi="ar"/>
        </w:rPr>
        <w:t>• 下半支可高温高压消毒。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11" w:lineRule="atLeast"/>
        <w:ind w:left="0" w:right="0"/>
        <w:rPr>
          <w:rFonts w:ascii="Raleway" w:hAnsi="Raleway" w:eastAsia="Raleway" w:cs="Raleway"/>
          <w:b/>
          <w:bCs/>
          <w:color w:val="333333"/>
        </w:rPr>
      </w:pPr>
      <w:r>
        <w:rPr>
          <w:rFonts w:hint="default" w:ascii="Raleway" w:hAnsi="Raleway" w:eastAsia="Raleway" w:cs="Raleway"/>
          <w:b/>
          <w:bCs/>
          <w:color w:val="333333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D4D4D4" w:sz="4" w:space="10"/>
          <w:left w:val="single" w:color="D4D4D4" w:sz="4" w:space="12"/>
          <w:bottom w:val="none" w:color="D4D4D4" w:sz="4" w:space="0"/>
          <w:right w:val="single" w:color="D4D4D4" w:sz="4" w:space="12"/>
        </w:pBdr>
        <w:shd w:val="clear" w:fill="FFFFFF"/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begin"/>
      </w: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instrText xml:space="preserve"> HYPERLINK "javascript:;" </w:instrText>
      </w:r>
      <w:r>
        <w:rPr>
          <w:rFonts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55AAF5"/>
          <w:u w:val="none"/>
          <w:bdr w:val="none" w:color="auto" w:sz="0" w:space="0"/>
          <w:shd w:val="clear" w:fill="FFFFFF"/>
        </w:rPr>
        <w:t>规格</w:t>
      </w:r>
      <w:r>
        <w:rPr>
          <w:rFonts w:hint="default" w:ascii="Roboto" w:hAnsi="Roboto" w:eastAsia="Roboto" w:cs="Roboto"/>
          <w:b/>
          <w:bCs/>
          <w:color w:val="55AAF5"/>
          <w:u w:val="none"/>
          <w:bdr w:val="single" w:color="D4D4D4" w:sz="4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auto" w:sz="4" w:space="10"/>
          <w:left w:val="single" w:color="auto" w:sz="4" w:space="12"/>
          <w:bottom w:val="single" w:color="auto" w:sz="4" w:space="10"/>
          <w:right w:val="single" w:color="auto" w:sz="4" w:space="12"/>
        </w:pBdr>
        <w:spacing w:before="0" w:beforeAutospacing="0" w:after="200" w:afterAutospacing="0" w:line="10" w:lineRule="atLeast"/>
        <w:ind w:left="200" w:right="200"/>
        <w:rPr>
          <w:b/>
          <w:bCs/>
        </w:rPr>
      </w:pP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begin"/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instrText xml:space="preserve"> HYPERLINK "javascript:;" </w:instrText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separate"/>
      </w:r>
      <w:r>
        <w:rPr>
          <w:rStyle w:val="6"/>
          <w:rFonts w:hint="default" w:ascii="Roboto" w:hAnsi="Roboto" w:eastAsia="Roboto" w:cs="Roboto"/>
          <w:b/>
          <w:bCs/>
          <w:color w:val="000000"/>
          <w:u w:val="none"/>
          <w:bdr w:val="none" w:color="auto" w:sz="0" w:space="0"/>
        </w:rPr>
        <w:t>产品编号及附件</w:t>
      </w:r>
      <w:r>
        <w:rPr>
          <w:rFonts w:hint="default" w:ascii="Roboto" w:hAnsi="Roboto" w:eastAsia="Roboto" w:cs="Roboto"/>
          <w:b/>
          <w:bCs/>
          <w:color w:val="000000"/>
          <w:u w:val="none"/>
          <w:bdr w:val="single" w:color="auto" w:sz="4" w:space="0"/>
        </w:rPr>
        <w:fldChar w:fldCharType="end"/>
      </w:r>
    </w:p>
    <w:tbl>
      <w:tblPr>
        <w:tblStyle w:val="3"/>
        <w:tblpPr w:leftFromText="180" w:rightFromText="180" w:vertAnchor="text" w:horzAnchor="page" w:tblpX="193" w:tblpY="1286"/>
        <w:tblOverlap w:val="never"/>
        <w:tblW w:w="11287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2"/>
        <w:gridCol w:w="1509"/>
        <w:gridCol w:w="2167"/>
        <w:gridCol w:w="1381"/>
        <w:gridCol w:w="1317"/>
        <w:gridCol w:w="1124"/>
        <w:gridCol w:w="1317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87" w:type="dxa"/>
            <w:gridSpan w:val="7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Arial" w:hAnsi="Arial" w:eastAsia="宋体" w:cs="Arial"/>
                <w:b/>
                <w:bCs/>
                <w:kern w:val="0"/>
                <w:sz w:val="16"/>
                <w:szCs w:val="16"/>
                <w:lang w:val="en-US" w:eastAsia="zh-CN" w:bidi="ar"/>
              </w:rPr>
              <w:t>单道可调式移液器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量程</w:t>
            </w:r>
          </w:p>
        </w:tc>
        <w:tc>
          <w:tcPr>
            <w:tcW w:w="1509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增量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测量体积（μl）</w:t>
            </w:r>
          </w:p>
        </w:tc>
        <w:tc>
          <w:tcPr>
            <w:tcW w:w="2698" w:type="dxa"/>
            <w:gridSpan w:val="2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允许最大系统误差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（不准确度）</w:t>
            </w:r>
          </w:p>
        </w:tc>
        <w:tc>
          <w:tcPr>
            <w:tcW w:w="2441" w:type="dxa"/>
            <w:gridSpan w:val="2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允许最大随机误差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（不精确度）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9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μl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μl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0.1-2.5μl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0.05μl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0.0625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0.0375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0.0375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0.03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0.5-10μl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0.075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0.075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0.025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2-20μl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0.90%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0.18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0.40%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0.12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5-50μl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0.90%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0.225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10-100μl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0.40%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20-200μl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50-200μl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0.8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0.40%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100-1000μl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0.70%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0.70%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200-1000μl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0.70%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0.90%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1.8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1000-5000μl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50μl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0.50%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0.15%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0.70%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2-10ml</w:t>
            </w:r>
          </w:p>
        </w:tc>
        <w:tc>
          <w:tcPr>
            <w:tcW w:w="1509" w:type="dxa"/>
            <w:vMerge w:val="restart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0.1ml</w:t>
            </w: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10ml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0.20%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5ml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1.20%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0.30%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72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2ml</w:t>
            </w:r>
          </w:p>
        </w:tc>
        <w:tc>
          <w:tcPr>
            <w:tcW w:w="138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3.00%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24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0.60%</w:t>
            </w:r>
          </w:p>
        </w:tc>
        <w:tc>
          <w:tcPr>
            <w:tcW w:w="131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80" w:afterAutospacing="0"/>
        <w:ind w:left="216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80" w:afterAutospacing="0"/>
        <w:ind w:left="2160" w:right="0" w:hanging="360"/>
      </w:pPr>
      <w:r>
        <w:rPr>
          <w:sz w:val="13"/>
          <w:szCs w:val="13"/>
          <w:bdr w:val="none" w:color="auto" w:sz="0" w:space="0"/>
        </w:rPr>
        <w:t> </w:t>
      </w:r>
    </w:p>
    <w:tbl>
      <w:tblPr>
        <w:tblpPr w:leftFromText="180" w:rightFromText="180" w:vertAnchor="text" w:horzAnchor="page" w:tblpX="439" w:tblpY="1079"/>
        <w:tblOverlap w:val="never"/>
        <w:tblW w:w="10820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345"/>
        <w:gridCol w:w="2070"/>
        <w:gridCol w:w="1587"/>
        <w:gridCol w:w="1277"/>
        <w:gridCol w:w="1708"/>
        <w:gridCol w:w="1212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0820" w:type="dxa"/>
            <w:gridSpan w:val="7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hint="default" w:ascii="Arial" w:hAnsi="Arial" w:eastAsia="宋体" w:cs="Arial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固定式移液器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量程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增量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测量体积（μl）</w:t>
            </w:r>
          </w:p>
        </w:tc>
        <w:tc>
          <w:tcPr>
            <w:tcW w:w="2864" w:type="dxa"/>
            <w:gridSpan w:val="2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允许最大系统误差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（不准确度）</w:t>
            </w:r>
          </w:p>
        </w:tc>
        <w:tc>
          <w:tcPr>
            <w:tcW w:w="2920" w:type="dxa"/>
            <w:gridSpan w:val="2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允许最大随机误差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（不精确度）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μl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μl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0.06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0.6%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0.125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0.075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6.0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621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5000μl</w:t>
            </w:r>
          </w:p>
        </w:tc>
        <w:tc>
          <w:tcPr>
            <w:tcW w:w="1345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207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5000μl</w:t>
            </w:r>
          </w:p>
        </w:tc>
        <w:tc>
          <w:tcPr>
            <w:tcW w:w="158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0.3%</w:t>
            </w:r>
          </w:p>
        </w:tc>
        <w:tc>
          <w:tcPr>
            <w:tcW w:w="1277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8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0.15%</w:t>
            </w:r>
          </w:p>
        </w:tc>
        <w:tc>
          <w:tcPr>
            <w:tcW w:w="1212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7.5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80" w:afterAutospacing="0"/>
        <w:ind w:left="2160" w:right="0" w:hanging="360"/>
      </w:pPr>
      <w:r>
        <w:rPr>
          <w:sz w:val="13"/>
          <w:szCs w:val="13"/>
          <w:bdr w:val="none" w:color="auto" w:sz="0" w:space="0"/>
        </w:rPr>
        <w:t> </w:t>
      </w:r>
      <w:r>
        <w:rPr>
          <w:sz w:val="13"/>
          <w:szCs w:val="13"/>
          <w:bdr w:val="none" w:color="auto" w:sz="0" w:space="0"/>
        </w:rPr>
        <w:br w:type="textWrapping"/>
      </w:r>
      <w:r>
        <w:rPr>
          <w:sz w:val="13"/>
          <w:szCs w:val="13"/>
          <w:bdr w:val="none" w:color="auto" w:sz="0" w:space="0"/>
        </w:rPr>
        <w:t> </w:t>
      </w:r>
      <w:r>
        <w:rPr>
          <w:sz w:val="13"/>
          <w:szCs w:val="13"/>
          <w:bdr w:val="none" w:color="auto" w:sz="0" w:space="0"/>
        </w:rPr>
        <w:br w:type="textWrapping"/>
      </w:r>
      <w:r>
        <w:rPr>
          <w:sz w:val="13"/>
          <w:szCs w:val="13"/>
          <w:bdr w:val="none" w:color="auto" w:sz="0" w:space="0"/>
        </w:rPr>
        <w:t> </w:t>
      </w:r>
    </w:p>
    <w:tbl>
      <w:tblPr>
        <w:tblpPr w:leftFromText="180" w:rightFromText="180" w:vertAnchor="text" w:horzAnchor="page" w:tblpX="656" w:tblpY="400"/>
        <w:tblOverlap w:val="never"/>
        <w:tblW w:w="10419" w:type="dxa"/>
        <w:tblInd w:w="0" w:type="dxa"/>
        <w:tblBorders>
          <w:top w:val="single" w:color="E9E9E9" w:sz="4" w:space="0"/>
          <w:left w:val="single" w:color="E9E9E9" w:sz="4" w:space="0"/>
          <w:bottom w:val="single" w:color="E9E9E9" w:sz="4" w:space="0"/>
          <w:right w:val="single" w:color="E9E9E9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8"/>
        <w:gridCol w:w="5331"/>
      </w:tblGrid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产品编号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量程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7010101001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0.1-2.5μl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7010101004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0.5-10μl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7010101006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5-50μl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7010101005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2-20μl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7010101008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10-100μl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7010101009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20-200μl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7010101011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50-200μl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7010101014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100-1000μl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7010101016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200-1000μl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7010101017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1000-5000μl </w:t>
            </w:r>
          </w:p>
        </w:tc>
      </w:tr>
      <w:tr>
        <w:tblPrEx>
          <w:tblBorders>
            <w:top w:val="single" w:color="E9E9E9" w:sz="4" w:space="0"/>
            <w:left w:val="single" w:color="E9E9E9" w:sz="4" w:space="0"/>
            <w:bottom w:val="single" w:color="E9E9E9" w:sz="4" w:space="0"/>
            <w:right w:val="single" w:color="E9E9E9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7010101033</w:t>
            </w:r>
          </w:p>
        </w:tc>
        <w:tc>
          <w:tcPr>
            <w:tcW w:w="0" w:type="auto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4" w:lineRule="atLeast"/>
              <w:jc w:val="center"/>
              <w:textAlignment w:val="center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777777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Open Sans" w:cs="Arial"/>
                <w:i w:val="0"/>
                <w:iCs w:val="0"/>
                <w:caps w:val="0"/>
                <w:color w:val="777777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2-10ml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Raleway">
    <w:panose1 w:val="020B0003030101060003"/>
    <w:charset w:val="00"/>
    <w:family w:val="auto"/>
    <w:pitch w:val="default"/>
    <w:sig w:usb0="A00000BF" w:usb1="5000005B" w:usb2="00000000" w:usb3="00000000" w:csb0="00000093" w:csb1="0000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16BB8"/>
    <w:multiLevelType w:val="multilevel"/>
    <w:tmpl w:val="ADF16B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zhiNDZjODM0NTUyMmQ2NGE3MjQzMzUwYWMzNWUifQ=="/>
  </w:docVars>
  <w:rsids>
    <w:rsidRoot w:val="6B1806CF"/>
    <w:rsid w:val="1EC1044D"/>
    <w:rsid w:val="456D6663"/>
    <w:rsid w:val="514E19F5"/>
    <w:rsid w:val="6B1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508</Words>
  <Characters>1519</Characters>
  <Lines>0</Lines>
  <Paragraphs>0</Paragraphs>
  <TotalTime>9</TotalTime>
  <ScaleCrop>false</ScaleCrop>
  <LinksUpToDate>false</LinksUpToDate>
  <CharactersWithSpaces>1555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2023-02-07T06:43:00Z</dcterms:created>
  <dc:creator>KXZNZ</dc:creator>
  <cp:lastModifiedBy>KXZNZ</cp:lastModifiedBy>
  <dcterms:modified xsi:type="dcterms:W3CDTF">2023-02-07T06:55:05Z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EEF8B7C271CA4D4E88664116B7A8E1AC</vt:lpwstr>
  </property>
</Properties>
</file>